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9A" w:rsidRPr="009A7C5B" w:rsidRDefault="00EE679A" w:rsidP="009A7C5B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71"/>
      <w:bookmarkStart w:id="1" w:name="_Toc62391971"/>
      <w:bookmarkStart w:id="2" w:name="_Toc74562887"/>
      <w:r w:rsidRPr="009A7C5B">
        <w:rPr>
          <w:b w:val="0"/>
          <w:bCs w:val="0"/>
          <w:i w:val="0"/>
          <w:iCs w:val="0"/>
          <w:sz w:val="32"/>
          <w:szCs w:val="32"/>
          <w:lang w:val="tr-TR" w:eastAsia="tr-TR"/>
        </w:rPr>
        <w:t>HATT-I KUR’ÂNÎ’NİN MUHAFAZASI ESASI</w:t>
      </w:r>
      <w:bookmarkEnd w:id="0"/>
      <w:bookmarkEnd w:id="1"/>
      <w:bookmarkEnd w:id="2"/>
      <w:r w:rsidR="00D76EFE" w:rsidRPr="009A7C5B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9A7C5B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"32-HATT-I KUR’ÂNÎ’N‹N MUHAFAZA ESASI" \l 1 </w:instrText>
      </w:r>
      <w:r w:rsidR="00D76EFE" w:rsidRPr="009A7C5B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«Kur’ân kelimesi, ebced hesabıyla 351’dir. İçinde iki elif var. Mahfî elif, “elfün” okunsa, “bin” mânâsın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daki elfün’dür. </w:t>
      </w:r>
      <w:r w:rsidRPr="009A7C5B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9A7C5B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HAŞİYE)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Demek 1351 se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nesine “sene-i Kur’âniye” tabir edilebilir. Çünkü, lâfz-ı Kur’ân’daki te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vafukatın sırr-ı acibi, Kur’ân’ın tefsiri olan Risale-i Nur eczalarında o sene göründü. Ve Kur’ân’daki Lâfz-ı Celâlin i’câzkârâne sırr-ı tevafuku aynı senede tezahür etti. Ve bir nakş-ı i’câzîyi gösterecek bir Kur’ân’ın yeni bir tarzda yazılması, aynı senede olu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yor. Ve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hatt-ı Kur’ân’ın tebdiline karşı, Kur’ân şakirdlerinin bütün kuvvetleriyle hatt-ı Kur’ânîyi muha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"hatt-› Kur’ânîyi muha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faza"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ya çalışması aynı senede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.» (Mektubat sh: 428)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2-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«Bazı ulemanın yeni eserlerinde meslek ve meş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rep ayrı ve bid’atlara müsait gittiği için,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 zendekaya karşı hakaik-i ima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muhafazaya çalış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 gibi, bid’ata karşı da huruf ve hatt-ı Kur’ânı muha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"huruf ve hatt-› Kur’ân› muha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faza"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bir va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zifesi iken; has talebelerden birisi bil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fiil hu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ruf ve hatt-ı Kur’âniye’yi ders verdiği halde, sırrı bilinmez bir he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vesle, huruf ve hatt-ı Kur’âniyeye, ilm-i din perdesinde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"huruf ve hatt-› Kur’âniyeye, ilm-i din perdesinde"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tesirli bir su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rette darbe vuran bazı hoca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darbede is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mal ettikleri eserleri almışlar. Haberim ol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dan, dağda, şiddetli bir tarzda o has talebe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karşı bir gerginlik hissettim, sonra ikaz ettim. Elhamdü lillâh ayıldılar. İnşaallah ta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mamen kurtuldular.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(Kastamonu Lâhikası sh: 77)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bCs/>
          <w:sz w:val="24"/>
          <w:szCs w:val="24"/>
          <w:lang w:val="tr-TR" w:eastAsia="tr-TR"/>
        </w:rPr>
        <w:t>3-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«İki genç muallim daha eski yazı ile Nurlara gir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mesi ve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çocukla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rın, huruf-u Kur’âniyeyi öğ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renmeye başlaması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"çocuklar›n, huruf-u Kur’âniyeyi ö¤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renmeye baﬂlamas›"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ile Risale-i Nur’ları da yaz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 girmeleri, büyük bir fa’l-i hayırdır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. Cenab-ı Hak o mâ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sumları mu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vaffak etsin.» (Emirdağ Lâhikası-I sh: 226)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«Risale-i Nur’un neşir keyfiyeti de tarihte hiç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bir eserde gö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rülme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miş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tir. Şöyle ki: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Kur’ân hattını muhafaza etmek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 hatt›n› muhafaza etmek"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hizmetiyle de mu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vazzaf olan Ri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sale-i Nur’un, muhakkak Kur’ân yazısıyla neşredilmesi lâzımdı.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Eski yazı yasak edilmiş ve matba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aları kaldırılmıştı.» (Tarihçe-i Hayat sh: 162)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«Bediüzzaman hapiste olduğu günler dahi Risale-i Nur’un neşriyatı durmamış, perde altında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yüz binlerce nüshaları eski yazı ile neşret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"eski yaz› ile neﬂretmeye"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, Nur kahramanı Hüsrev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"Hüsrev"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gibi Nur ta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lebeleri mu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vaffak olmuşlar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(Ta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rihçe-i Hayat sh: 545)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Nur’dan eskimez yazı öğren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"eskimez yaz› ö¤ren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meye"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ge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lince Kur’ân yazı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sıyla olan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 yaz›s›yla olan"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Nur Risalelerini yazmaktaki ka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zancımız çok bü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tür. Eskimez yazıyı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"Eskimez yaz›y›"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kısa bir za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öğre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niyo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ruz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, hem yazarken malûmat elde ediyo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ruz. Hem, Risale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noBreakHyphen/>
        <w:t>i Nur eczalarını çoğaltmakla imâna ve Kur’ân’a hizmet edildiği için pek büyük mânevi kazançlar elde ediyoruz. Hem yazı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larak edinilen bilgi hâfızaya daha esaslı yerleşiyor. Bunun için şimdiye kadar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binlerce genç Risale-i Nur’u yazarak Kur’ân yazısını öğ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renmiş ve öğ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renmektedir.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(Gençlik Rehberi sh: 264)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«Yeni hurufla yazdığınız iki mesele, cidden te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sirini gös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terdi. Bi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rinci, İkinci, Üçüncü Meseleleri de ya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zılsa çok iyi olur. Fakat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Hüsrev ve Tahirî gibi ka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lemleri Kur’ân’a ve Kur’ân hattına 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"Kur’ân’a ve Kur’ân hatt›na 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mahsus ve memur olmala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rından bana endişe ve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rir. Başkalar yazsalar daha münasip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» (Şualar sh: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lastRenderedPageBreak/>
        <w:t>303)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Nur’un bir vazifesi huruf-u Kur’âniye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bir vazifesi huruf-u Kur’âniye"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yi muhafaza oldu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ğundan yeni hurufa zaruret derecesinde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"yeni hurufa zaruret derecesinde"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inşaallah müsaade olur.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(Kastamonu Lâhikası sh: 210)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Nur’un mühim bir vazifesi, âlem-i İslâmın ekseriyet-i mutlakasının yazısı ve hattı olan hu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ruf-u Arabiyeyi muhafaza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ruf-u Arabiyeyi muhafaza"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olduğundan, tab’ yo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luyla işe girişilse, şimdi ekser halk yalnız yeni hurufu bildikleri için, en çok risaleleri yeni hurufla tab etmek lâzım gelecek. Bu ise, Risale-i Nur’un yeni hu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rufa bir fetvası olup şakirdleri de o kolay yazıyı tercih etmeye se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bep olur.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Onun için, şim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diye kadar pek çok müstehak ve lâyık iken, Risale-i Nur’a serbesti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yet ve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rilmemişti. Lillâhilhamd, şimdi hakikatlerinin kuvve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tiyle serbestiyeti ka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zandı. Hattâ eski harfle tab’ ya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sak iken, Âyetü’l-Kübrâ’yı bize teslim etti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rip bir kera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met-i ekber gösterdi.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sz w:val="24"/>
          <w:szCs w:val="24"/>
          <w:lang w:val="tr-TR" w:eastAsia="tr-TR"/>
        </w:rPr>
        <w:t>Biz şimdi gayet mühim ve herkese lâzım Meyve ile Hüccetü’l-Bâliğa’yı ikisi bir cilt olarak yeni hurufla tab et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mek için Tahirî ile İstan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bul’a gönderdim.» (Emirdağ Lâhikası-I sh: 82)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10-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«Risale-i Nur kendi şakirdleri ile lâakal yüzer ka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lemle yüz parça Risale-i Nur’un eczalarıyla ve intişar eden yirmi bin nüshasıyla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lâakal yüz bin adamı hu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ruf-u Kur’âniye lehine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ruf-u Kur’âniye lehine"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ve sünnet-i seniyeye it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tibaa ve imanla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rının takviyesine ve Hz. Ali’nin (R.A.) hiddet ettiği iki ce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reyana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"Hz. Ali’nin (r.a.) hiddet etti¤i iki ce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reyana"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karşı tama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mıyla mukavemet ettiklerinden elbette Hz. Ali’nin (R.A.) </w:t>
      </w:r>
      <w:r w:rsidR="00883AA3" w:rsidRPr="009A7C5B">
        <w:rPr>
          <w:rFonts w:eastAsia="Times New Roman" w:cstheme="minorHAnsi"/>
          <w:bCs/>
          <w:color w:val="FF0000"/>
          <w:sz w:val="28"/>
          <w:szCs w:val="28"/>
          <w:rtl/>
          <w:lang w:val="tr-TR" w:eastAsia="tr-TR"/>
        </w:rPr>
        <w:t>يَاايُّهاالْاِخْوَانُ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tabir ettiği ihvanları içinde hususî bir surette onlara bakıyor.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(Osmanlıca Lem’alar sh: 316)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Hatt-ı Kur’ânî, milletimizin yazısıdır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"Hatt-› Kur’ânî, milletimizin yaz›s›d›r"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«Hata 59: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Hüsrev Altınbaşak, Türk Harfleri Kanununa aykırı olarak Asâ-yı Mûsâ ve Zülfikar gibi mecmuaları Arap harfleri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"Arap harfleri"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yle yaz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mış.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Cevap: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Şimdiye kadar Kur’ân harfleri ve hattı, Türk milletinin hatt-ı kadîmi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 harfleri ve hatt›, Türk milletinin hatt-› kadîmi"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 halde, Lâtin harfleri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"Lâtin harfleri"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ni Türk harfleri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 harfleri"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deyip Kur’ân harfleriyle Asâ-yı Mûsâ’yı yazan Hüsrev’i mes’ul etmek bir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kaç vecihte yanlış ol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ğunu ehl-i insaf anlar.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(Şualar sh: 415)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Hatt-ı Kur’ânî’nin tebdili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"Hatt-› Kur’ânî’nin tebdili"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ne cevaz verenlere karşı gös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terilen şiddet: 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Hz. Ali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"Hz. Ali"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(R.A.) huruf-u ecnebiyi 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"huruf-u ecnebiyi 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İslâmlar içinde cebren kabul et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tirmek hadisesi ile ulemaü’s-su’un bid’a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yardımları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"ulemaü’s-su’un bid’a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lara yard›mlar›"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ndan tees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süfle bahsedip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bu iki hadise or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sında irşadkâ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rane bazılarından bahsedi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yor ki, o Sekine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"Sekine"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olan İsm-i Âzamla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ecnebi hurufuna karşı mukabele edi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yor. 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Hem ule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maü’s-su’a muhalefet ediyor. İşte bu za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manda o adamla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 şakirdleri ve naşirleri ol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dukları şüphesizdir. Çünkü onlardır ki hatt-ı Kur’ân’ı muhafaza ediyor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"hatt-› Kur’ân’› muhafaza ediyor"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lar ve bid’a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bir kı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sım ulema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"bid’a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kâr bir k›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s›m ulema"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lara karşı da mukavemet ediyorlar.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(Osmanlıca 18. Lem’a sh: 313)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«Beşinci emare: Ecnebi hurufatını ehl-i İslâmın en mü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him hükü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meti resmi bir surette kabul ve neşir ve ceb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rettiği halde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Risale-i Nur şakirdleri bütün kuv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vetleriyle hatt-ı Kur’âniyeyi harika bir surette neşir ve tamim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"hatt-› Kur’âniyeyi neﬂir ve tamim"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 xml:space="preserve"> ile mu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hafazasına ça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lıştıkları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bir zamanda Hz. Ali (R.A.) aynı tarihiyle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"Hz. Ali (r.a.) tarihiyle"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ondan ha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ber vermekle gaybî ke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rametini be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yan ettiği yerde ulema içinde birisine iltifat gösteriyor. Elbette bu iltifatın gerçi çok ef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radı olabilir. Fakat bu ka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rine-i hal gösteriyor ki Risale-i Nur şakird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leri bir husu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siyet kesbetmiş ki Hz. Ali (R.A.) ilti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fatla Risale-i Nur’u alkışlı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yor.» (Osmanlıca 18. Lem’a sh: 315)</w:t>
      </w:r>
    </w:p>
    <w:p w:rsidR="00EE679A" w:rsidRPr="009A7C5B" w:rsidRDefault="00EE679A" w:rsidP="009A7C5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«Hazret-i İmam-ı Ali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"Hazret-i ‹mam-› Ali"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radiyallahu anhu, Kaside-i Ercûze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"Kaside-i Ercûze"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="00883AA3" w:rsidRPr="009A7C5B">
        <w:rPr>
          <w:rFonts w:eastAsia="Times New Roman" w:cstheme="minorHAnsi"/>
          <w:sz w:val="24"/>
          <w:szCs w:val="24"/>
          <w:lang w:val="tr-TR" w:eastAsia="tr-TR"/>
        </w:rPr>
        <w:t xml:space="preserve">sinde </w:t>
      </w:r>
      <w:r w:rsidR="00883AA3" w:rsidRPr="009A7C5B">
        <w:rPr>
          <w:rFonts w:cstheme="minorHAnsi"/>
          <w:color w:val="FF0000"/>
          <w:sz w:val="28"/>
          <w:szCs w:val="28"/>
          <w:highlight w:val="white"/>
          <w:rtl/>
        </w:rPr>
        <w:t>اَحْرُفُ عُجْمٍ سُطِّرَتْ تَسْطِيرًا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deyip,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bu za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tamim edilen ecnebi harflerine bakıp, bu cüm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ledeki harflerin cifri ve ebcedi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rakamla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rının bu zamana parmak basma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larıyla vaki ce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reyan-ı küfriyâneye işaret 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"ce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re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yan-› küfriyâneye iﬂaret 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ettiği.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» (Lem’alar sh: 447)</w:t>
      </w:r>
    </w:p>
    <w:p w:rsidR="00AC1666" w:rsidRPr="009A7C5B" w:rsidRDefault="00EE679A" w:rsidP="009A7C5B">
      <w:pPr>
        <w:widowControl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Hem yine </w:t>
      </w:r>
      <w:r w:rsidR="00AC1666" w:rsidRPr="009A7C5B">
        <w:rPr>
          <w:rFonts w:cstheme="minorHAnsi"/>
          <w:color w:val="FF0000"/>
          <w:sz w:val="28"/>
          <w:szCs w:val="28"/>
          <w:highlight w:val="white"/>
          <w:rtl/>
        </w:rPr>
        <w:t>اَحْرُفُ عُجْمٍ سُطِّرَتْ تَسْطِيرًا بِتَّ بِهَا اْلاَمِيرُ وَالْفَقِيرَا</w:t>
      </w:r>
      <w:bookmarkStart w:id="3" w:name="_GoBack"/>
      <w:bookmarkEnd w:id="3"/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Yani, 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ecnebi hurufları 1348’de tâmim edilecek,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çoluk-çocuk emirler ve fa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kirler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"çoluk-çocuk emirler ve fa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kirler"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 xml:space="preserve"> icbar suretinde, gece dersleriyle öğ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renme</w: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instrText xml:space="preserve"> "gece dersleriyle ö¤</w:instrTex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renme" </w:instrText>
      </w:r>
      <w:r w:rsidR="00D76EFE" w:rsidRPr="009A7C5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sz w:val="24"/>
          <w:szCs w:val="24"/>
          <w:lang w:val="tr-TR" w:eastAsia="tr-TR"/>
        </w:rPr>
        <w:t>ye çalışacak</w:t>
      </w:r>
      <w:r w:rsidRPr="009A7C5B">
        <w:rPr>
          <w:rFonts w:eastAsia="Times New Roman" w:cstheme="minorHAnsi"/>
          <w:sz w:val="24"/>
          <w:szCs w:val="24"/>
          <w:lang w:val="tr-TR" w:eastAsia="tr-TR"/>
        </w:rPr>
        <w:softHyphen/>
        <w:t>lar.» (Şualar sh: 736)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Yukarıda kısmen nakledilen sarih ifade ve be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yanlar, Kur’ân yazısı hem bir şeair</w: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 yaz›s› hem bir ﬂeair" </w:instrText>
      </w:r>
      <w:r w:rsidR="00D76EFE" w:rsidRPr="009A7C5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, hem bu milletin ve âlem-i İslâmın müşterek esas yazısı olduğunu ifade eder.</w:t>
      </w:r>
    </w:p>
    <w:p w:rsidR="00EE679A" w:rsidRPr="009A7C5B" w:rsidRDefault="00EE679A" w:rsidP="009A7C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t>Ve bu yazıyı muha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 etmek, Risale-i Nur’un bir va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zifesi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  Bu beyan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lar, bu sarih hükmün kat’iyetle te’vili mümkün ol</w:t>
      </w:r>
      <w:r w:rsidRPr="009A7C5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madığını gösterir.</w:t>
      </w:r>
    </w:p>
    <w:p w:rsidR="00D87CCA" w:rsidRPr="009A7C5B" w:rsidRDefault="00D87CCA" w:rsidP="009A7C5B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9A7C5B" w:rsidSect="00D76E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85" w:rsidRDefault="007C5385" w:rsidP="00EE679A">
      <w:pPr>
        <w:spacing w:after="0" w:line="240" w:lineRule="auto"/>
      </w:pPr>
      <w:r>
        <w:separator/>
      </w:r>
    </w:p>
  </w:endnote>
  <w:endnote w:type="continuationSeparator" w:id="1">
    <w:p w:rsidR="007C5385" w:rsidRDefault="007C5385" w:rsidP="00EE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85" w:rsidRDefault="007C5385" w:rsidP="00EE679A">
      <w:pPr>
        <w:spacing w:after="0" w:line="240" w:lineRule="auto"/>
      </w:pPr>
      <w:r>
        <w:separator/>
      </w:r>
    </w:p>
  </w:footnote>
  <w:footnote w:type="continuationSeparator" w:id="1">
    <w:p w:rsidR="007C5385" w:rsidRDefault="007C5385" w:rsidP="00EE679A">
      <w:pPr>
        <w:spacing w:after="0" w:line="240" w:lineRule="auto"/>
      </w:pPr>
      <w:r>
        <w:continuationSeparator/>
      </w:r>
    </w:p>
  </w:footnote>
  <w:footnote w:id="2">
    <w:p w:rsidR="00EE679A" w:rsidRPr="009A7C5B" w:rsidRDefault="00EE679A" w:rsidP="009A7C5B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9A7C5B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9A7C5B">
        <w:rPr>
          <w:rFonts w:asciiTheme="minorHAnsi" w:hAnsiTheme="minorHAnsi" w:cstheme="minorHAnsi"/>
          <w:sz w:val="24"/>
          <w:szCs w:val="24"/>
        </w:rPr>
        <w:t xml:space="preserve"> İlm-i sarf kaidesince, feilün, “fe’lün” okunur –ketifün, “ketfün” okunması gibi. Buna binaen, elifün, “el</w:t>
      </w:r>
      <w:r w:rsidRPr="009A7C5B">
        <w:rPr>
          <w:rFonts w:asciiTheme="minorHAnsi" w:hAnsiTheme="minorHAnsi" w:cstheme="minorHAnsi"/>
          <w:sz w:val="24"/>
          <w:szCs w:val="24"/>
        </w:rPr>
        <w:softHyphen/>
        <w:t>fün” okunur. O halde 1351 olur. (Müellif)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79A"/>
    <w:rsid w:val="005C38C1"/>
    <w:rsid w:val="007C5385"/>
    <w:rsid w:val="00883AA3"/>
    <w:rsid w:val="009A7C5B"/>
    <w:rsid w:val="00AC1666"/>
    <w:rsid w:val="00BE5D37"/>
    <w:rsid w:val="00D76EFE"/>
    <w:rsid w:val="00D87CCA"/>
    <w:rsid w:val="00EE679A"/>
    <w:rsid w:val="00EF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E679A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EE679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C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C5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E679A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EE679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2020-01-09T16:53:00Z</dcterms:created>
  <dcterms:modified xsi:type="dcterms:W3CDTF">2020-03-15T22:06:00Z</dcterms:modified>
</cp:coreProperties>
</file>